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9C8A1" w14:textId="77777777" w:rsidR="000A13C9" w:rsidRDefault="00C51063">
      <w:r>
        <w:rPr>
          <w:rFonts w:hint="eastAsia"/>
          <w:lang w:eastAsia="zh-CN"/>
        </w:rPr>
        <w:t>理科教育法</w:t>
      </w:r>
      <w:r>
        <w:rPr>
          <w:rFonts w:hint="eastAsia"/>
          <w:lang w:eastAsia="zh-CN"/>
        </w:rPr>
        <w:t>4</w:t>
      </w:r>
      <w:r>
        <w:rPr>
          <w:rFonts w:hint="eastAsia"/>
          <w:lang w:eastAsia="zh-CN"/>
        </w:rPr>
        <w:t xml:space="preserve">　報告書</w:t>
      </w:r>
    </w:p>
    <w:p w14:paraId="78129FED" w14:textId="77777777" w:rsidR="005F10B3" w:rsidRDefault="005F10B3" w:rsidP="005F10B3">
      <w:pPr>
        <w:jc w:val="right"/>
      </w:pPr>
      <w:r>
        <w:rPr>
          <w:rFonts w:hint="eastAsia"/>
        </w:rPr>
        <w:t>実施日</w:t>
      </w:r>
      <w:r>
        <w:rPr>
          <w:rFonts w:hint="eastAsia"/>
        </w:rPr>
        <w:t>2014/6/15(</w:t>
      </w:r>
      <w:r>
        <w:rPr>
          <w:rFonts w:hint="eastAsia"/>
        </w:rPr>
        <w:t>日</w:t>
      </w:r>
      <w:r>
        <w:rPr>
          <w:rFonts w:hint="eastAsia"/>
        </w:rPr>
        <w:t>)</w:t>
      </w:r>
    </w:p>
    <w:p w14:paraId="7D8E4653" w14:textId="77777777" w:rsidR="00C51063" w:rsidRDefault="00C51063" w:rsidP="005F10B3">
      <w:pPr>
        <w:jc w:val="right"/>
        <w:rPr>
          <w:lang w:eastAsia="zh-CN"/>
        </w:rPr>
      </w:pPr>
      <w:r>
        <w:rPr>
          <w:rFonts w:hint="eastAsia"/>
          <w:lang w:eastAsia="zh-CN"/>
        </w:rPr>
        <w:t>5</w:t>
      </w:r>
      <w:bookmarkStart w:id="0" w:name="_GoBack"/>
      <w:bookmarkEnd w:id="0"/>
      <w:r>
        <w:rPr>
          <w:rFonts w:hint="eastAsia"/>
          <w:lang w:eastAsia="zh-CN"/>
        </w:rPr>
        <w:t>班　浅川岳　榎本光太　永井雅也　吉田羽吹</w:t>
      </w:r>
    </w:p>
    <w:p w14:paraId="562CC879" w14:textId="77777777" w:rsidR="00C51063" w:rsidRDefault="00C51063">
      <w:pPr>
        <w:rPr>
          <w:lang w:eastAsia="zh-CN"/>
        </w:rPr>
      </w:pPr>
    </w:p>
    <w:p w14:paraId="0F13C092" w14:textId="77777777" w:rsidR="00C51063" w:rsidRDefault="00C51063" w:rsidP="005F10B3">
      <w:pPr>
        <w:jc w:val="center"/>
      </w:pPr>
      <w:r>
        <w:rPr>
          <w:rFonts w:hint="eastAsia"/>
        </w:rPr>
        <w:t>人工イクラ</w:t>
      </w:r>
      <w:r w:rsidR="005F10B3">
        <w:rPr>
          <w:rFonts w:hint="eastAsia"/>
        </w:rPr>
        <w:t>(p194~195)</w:t>
      </w:r>
    </w:p>
    <w:p w14:paraId="03CF6920" w14:textId="77777777" w:rsidR="00C51063" w:rsidRDefault="00C51063"/>
    <w:p w14:paraId="47009A0F" w14:textId="77777777" w:rsidR="00C51063" w:rsidRDefault="00C51063" w:rsidP="00C51063">
      <w:pPr>
        <w:pStyle w:val="a3"/>
        <w:numPr>
          <w:ilvl w:val="0"/>
          <w:numId w:val="1"/>
        </w:numPr>
        <w:ind w:leftChars="0"/>
      </w:pPr>
      <w:r>
        <w:rPr>
          <w:rFonts w:hint="eastAsia"/>
        </w:rPr>
        <w:t>目的</w:t>
      </w:r>
    </w:p>
    <w:p w14:paraId="7D231C72" w14:textId="77777777" w:rsidR="00C51063" w:rsidRDefault="00C51063" w:rsidP="00C51063">
      <w:r>
        <w:rPr>
          <w:rFonts w:hint="eastAsia"/>
        </w:rPr>
        <w:t xml:space="preserve">　進路の決定した高校</w:t>
      </w:r>
      <w:r>
        <w:rPr>
          <w:rFonts w:hint="eastAsia"/>
        </w:rPr>
        <w:t>3</w:t>
      </w:r>
      <w:r>
        <w:rPr>
          <w:rFonts w:hint="eastAsia"/>
        </w:rPr>
        <w:t>年生を対象とした高校最後の授業。アルギン酸カルシウムの不溶性、半透膜などの原理の復習と応用、エントロピーなどの発展的な内容を学ぶ。</w:t>
      </w:r>
    </w:p>
    <w:p w14:paraId="470729F0" w14:textId="77777777" w:rsidR="00C51063" w:rsidRDefault="00C51063" w:rsidP="00C51063"/>
    <w:p w14:paraId="78E0C502" w14:textId="77777777" w:rsidR="00F22810" w:rsidRDefault="00F82973" w:rsidP="00C51063">
      <w:pPr>
        <w:pStyle w:val="a3"/>
        <w:numPr>
          <w:ilvl w:val="0"/>
          <w:numId w:val="1"/>
        </w:numPr>
        <w:ind w:leftChars="0"/>
      </w:pPr>
      <w:r>
        <w:rPr>
          <w:rFonts w:hint="eastAsia"/>
        </w:rPr>
        <w:t>試薬・道具</w:t>
      </w:r>
    </w:p>
    <w:tbl>
      <w:tblPr>
        <w:tblStyle w:val="a4"/>
        <w:tblW w:w="0" w:type="auto"/>
        <w:tblLook w:val="04A0" w:firstRow="1" w:lastRow="0" w:firstColumn="1" w:lastColumn="0" w:noHBand="0" w:noVBand="1"/>
      </w:tblPr>
      <w:tblGrid>
        <w:gridCol w:w="2900"/>
        <w:gridCol w:w="2901"/>
        <w:gridCol w:w="2901"/>
      </w:tblGrid>
      <w:tr w:rsidR="00F22810" w14:paraId="2F9AD0FF" w14:textId="77777777" w:rsidTr="00F22810">
        <w:tc>
          <w:tcPr>
            <w:tcW w:w="2900" w:type="dxa"/>
          </w:tcPr>
          <w:p w14:paraId="61F2E259" w14:textId="77777777" w:rsidR="00F22810" w:rsidRDefault="00F22810" w:rsidP="00C51063">
            <w:r>
              <w:t>道具</w:t>
            </w:r>
          </w:p>
        </w:tc>
        <w:tc>
          <w:tcPr>
            <w:tcW w:w="2901" w:type="dxa"/>
          </w:tcPr>
          <w:p w14:paraId="3DE25DA7" w14:textId="77777777" w:rsidR="00F22810" w:rsidRDefault="00F22810" w:rsidP="00C51063">
            <w:r>
              <w:t>一人分の値段</w:t>
            </w:r>
            <w:r>
              <w:rPr>
                <w:rFonts w:hint="eastAsia"/>
              </w:rPr>
              <w:t>(</w:t>
            </w:r>
            <w:r>
              <w:rPr>
                <w:rFonts w:hint="eastAsia"/>
              </w:rPr>
              <w:t>円</w:t>
            </w:r>
            <w:r>
              <w:rPr>
                <w:rFonts w:hint="eastAsia"/>
              </w:rPr>
              <w:t>)</w:t>
            </w:r>
          </w:p>
        </w:tc>
        <w:tc>
          <w:tcPr>
            <w:tcW w:w="2901" w:type="dxa"/>
          </w:tcPr>
          <w:p w14:paraId="302FAA08" w14:textId="77777777" w:rsidR="00F22810" w:rsidRDefault="00F22810" w:rsidP="00C51063">
            <w:r>
              <w:rPr>
                <w:rFonts w:hint="eastAsia"/>
              </w:rPr>
              <w:t>40</w:t>
            </w:r>
            <w:r>
              <w:rPr>
                <w:rFonts w:hint="eastAsia"/>
              </w:rPr>
              <w:t>人分の値段</w:t>
            </w:r>
            <w:r>
              <w:rPr>
                <w:rFonts w:hint="eastAsia"/>
              </w:rPr>
              <w:t>(</w:t>
            </w:r>
            <w:r>
              <w:rPr>
                <w:rFonts w:hint="eastAsia"/>
              </w:rPr>
              <w:t>円</w:t>
            </w:r>
            <w:r>
              <w:rPr>
                <w:rFonts w:hint="eastAsia"/>
              </w:rPr>
              <w:t>)</w:t>
            </w:r>
          </w:p>
        </w:tc>
      </w:tr>
      <w:tr w:rsidR="00F22810" w14:paraId="2D1F2EB4" w14:textId="77777777" w:rsidTr="00F22810">
        <w:tc>
          <w:tcPr>
            <w:tcW w:w="2900" w:type="dxa"/>
          </w:tcPr>
          <w:p w14:paraId="6150832D" w14:textId="77777777" w:rsidR="00F22810" w:rsidRDefault="00F22810" w:rsidP="00C51063">
            <w:r>
              <w:t>アルギン酸ナトリウム</w:t>
            </w:r>
          </w:p>
        </w:tc>
        <w:tc>
          <w:tcPr>
            <w:tcW w:w="2901" w:type="dxa"/>
          </w:tcPr>
          <w:p w14:paraId="68C54C8E" w14:textId="77777777" w:rsidR="00F22810" w:rsidRDefault="00A20C33" w:rsidP="00C51063">
            <w:r>
              <w:rPr>
                <w:rFonts w:hint="eastAsia"/>
              </w:rPr>
              <w:t>63(5g)</w:t>
            </w:r>
          </w:p>
        </w:tc>
        <w:tc>
          <w:tcPr>
            <w:tcW w:w="2901" w:type="dxa"/>
          </w:tcPr>
          <w:p w14:paraId="7416E369" w14:textId="77777777" w:rsidR="00F22810" w:rsidRDefault="00A20C33" w:rsidP="00C51063">
            <w:r>
              <w:rPr>
                <w:rFonts w:hint="eastAsia"/>
              </w:rPr>
              <w:t>2520(200g)</w:t>
            </w:r>
          </w:p>
        </w:tc>
      </w:tr>
      <w:tr w:rsidR="00F22810" w14:paraId="5C6E30AE" w14:textId="77777777" w:rsidTr="00F22810">
        <w:tc>
          <w:tcPr>
            <w:tcW w:w="2900" w:type="dxa"/>
          </w:tcPr>
          <w:p w14:paraId="204F7719" w14:textId="77777777" w:rsidR="00F22810" w:rsidRDefault="00F22810" w:rsidP="00C51063">
            <w:r>
              <w:t>塩化カルシウム</w:t>
            </w:r>
          </w:p>
        </w:tc>
        <w:tc>
          <w:tcPr>
            <w:tcW w:w="2901" w:type="dxa"/>
          </w:tcPr>
          <w:p w14:paraId="2398CD68" w14:textId="77777777" w:rsidR="00F22810" w:rsidRDefault="00816F27" w:rsidP="00C51063">
            <w:r>
              <w:rPr>
                <w:rFonts w:hint="eastAsia"/>
              </w:rPr>
              <w:t>26(5g)</w:t>
            </w:r>
          </w:p>
        </w:tc>
        <w:tc>
          <w:tcPr>
            <w:tcW w:w="2901" w:type="dxa"/>
          </w:tcPr>
          <w:p w14:paraId="380CC1A9" w14:textId="77777777" w:rsidR="00F22810" w:rsidRDefault="00816F27" w:rsidP="00C51063">
            <w:r>
              <w:rPr>
                <w:rFonts w:hint="eastAsia"/>
              </w:rPr>
              <w:t>1040(200g)</w:t>
            </w:r>
          </w:p>
        </w:tc>
      </w:tr>
      <w:tr w:rsidR="00F22810" w14:paraId="277E2CDC" w14:textId="77777777" w:rsidTr="00F22810">
        <w:tc>
          <w:tcPr>
            <w:tcW w:w="2900" w:type="dxa"/>
          </w:tcPr>
          <w:p w14:paraId="0A4E7D93" w14:textId="77777777" w:rsidR="00F22810" w:rsidRDefault="00F22810" w:rsidP="00C51063">
            <w:r>
              <w:t>プラカップ</w:t>
            </w:r>
          </w:p>
        </w:tc>
        <w:tc>
          <w:tcPr>
            <w:tcW w:w="2901" w:type="dxa"/>
          </w:tcPr>
          <w:p w14:paraId="00341545" w14:textId="77777777" w:rsidR="00F22810" w:rsidRDefault="00F22810" w:rsidP="00C51063">
            <w:r>
              <w:rPr>
                <w:rFonts w:hint="eastAsia"/>
              </w:rPr>
              <w:t>10</w:t>
            </w:r>
          </w:p>
        </w:tc>
        <w:tc>
          <w:tcPr>
            <w:tcW w:w="2901" w:type="dxa"/>
          </w:tcPr>
          <w:p w14:paraId="6920B9A0" w14:textId="77777777" w:rsidR="00F22810" w:rsidRDefault="00F22810" w:rsidP="00C51063">
            <w:r>
              <w:rPr>
                <w:rFonts w:hint="eastAsia"/>
              </w:rPr>
              <w:t>400</w:t>
            </w:r>
          </w:p>
        </w:tc>
      </w:tr>
      <w:tr w:rsidR="00F22810" w14:paraId="36642208" w14:textId="77777777" w:rsidTr="00F22810">
        <w:tc>
          <w:tcPr>
            <w:tcW w:w="2900" w:type="dxa"/>
          </w:tcPr>
          <w:p w14:paraId="2E8BADD8" w14:textId="77777777" w:rsidR="00F22810" w:rsidRDefault="00F22810" w:rsidP="00C51063">
            <w:r>
              <w:t>割り箸</w:t>
            </w:r>
          </w:p>
        </w:tc>
        <w:tc>
          <w:tcPr>
            <w:tcW w:w="2901" w:type="dxa"/>
          </w:tcPr>
          <w:p w14:paraId="3F98FA9B" w14:textId="77777777" w:rsidR="00F22810" w:rsidRDefault="00F22810" w:rsidP="00C51063">
            <w:r>
              <w:rPr>
                <w:rFonts w:hint="eastAsia"/>
              </w:rPr>
              <w:t>10</w:t>
            </w:r>
          </w:p>
        </w:tc>
        <w:tc>
          <w:tcPr>
            <w:tcW w:w="2901" w:type="dxa"/>
          </w:tcPr>
          <w:p w14:paraId="6AD2DC8E" w14:textId="77777777" w:rsidR="00F22810" w:rsidRDefault="00F22810" w:rsidP="00C51063">
            <w:r>
              <w:rPr>
                <w:rFonts w:hint="eastAsia"/>
              </w:rPr>
              <w:t>400</w:t>
            </w:r>
          </w:p>
        </w:tc>
      </w:tr>
      <w:tr w:rsidR="00F22810" w14:paraId="0AEA1A92" w14:textId="77777777" w:rsidTr="00F22810">
        <w:tc>
          <w:tcPr>
            <w:tcW w:w="2900" w:type="dxa"/>
          </w:tcPr>
          <w:p w14:paraId="3A7A5CDB" w14:textId="77777777" w:rsidR="00F22810" w:rsidRDefault="00F22810" w:rsidP="00C51063">
            <w:r>
              <w:t>スポイト</w:t>
            </w:r>
          </w:p>
        </w:tc>
        <w:tc>
          <w:tcPr>
            <w:tcW w:w="2901" w:type="dxa"/>
          </w:tcPr>
          <w:p w14:paraId="03491022" w14:textId="77777777" w:rsidR="00F22810" w:rsidRDefault="00816F27" w:rsidP="00C51063">
            <w:r>
              <w:rPr>
                <w:rFonts w:hint="eastAsia"/>
              </w:rPr>
              <w:t>15</w:t>
            </w:r>
          </w:p>
        </w:tc>
        <w:tc>
          <w:tcPr>
            <w:tcW w:w="2901" w:type="dxa"/>
          </w:tcPr>
          <w:p w14:paraId="24FCA246" w14:textId="77777777" w:rsidR="00F22810" w:rsidRDefault="00816F27" w:rsidP="00C51063">
            <w:r>
              <w:rPr>
                <w:rFonts w:hint="eastAsia"/>
              </w:rPr>
              <w:t>600</w:t>
            </w:r>
          </w:p>
        </w:tc>
      </w:tr>
      <w:tr w:rsidR="00F22810" w14:paraId="229E907A" w14:textId="77777777" w:rsidTr="00F22810">
        <w:tc>
          <w:tcPr>
            <w:tcW w:w="2900" w:type="dxa"/>
          </w:tcPr>
          <w:p w14:paraId="520A13ED" w14:textId="77777777" w:rsidR="00F22810" w:rsidRDefault="00F22810" w:rsidP="00C51063">
            <w:r>
              <w:t>水</w:t>
            </w:r>
          </w:p>
        </w:tc>
        <w:tc>
          <w:tcPr>
            <w:tcW w:w="2901" w:type="dxa"/>
          </w:tcPr>
          <w:p w14:paraId="67AB5079" w14:textId="77777777" w:rsidR="00F22810" w:rsidRDefault="00F22810" w:rsidP="00C51063">
            <w:r>
              <w:rPr>
                <w:rFonts w:hint="eastAsia"/>
              </w:rPr>
              <w:t>0</w:t>
            </w:r>
          </w:p>
        </w:tc>
        <w:tc>
          <w:tcPr>
            <w:tcW w:w="2901" w:type="dxa"/>
          </w:tcPr>
          <w:p w14:paraId="323B28F2" w14:textId="77777777" w:rsidR="00F22810" w:rsidRDefault="00F22810" w:rsidP="00C51063">
            <w:r>
              <w:rPr>
                <w:rFonts w:hint="eastAsia"/>
              </w:rPr>
              <w:t>0</w:t>
            </w:r>
          </w:p>
        </w:tc>
      </w:tr>
      <w:tr w:rsidR="00F22810" w14:paraId="0EBB5B79" w14:textId="77777777" w:rsidTr="00F22810">
        <w:tc>
          <w:tcPr>
            <w:tcW w:w="2900" w:type="dxa"/>
          </w:tcPr>
          <w:p w14:paraId="38195384" w14:textId="77777777" w:rsidR="00F22810" w:rsidRDefault="00F22810" w:rsidP="00C51063">
            <w:r>
              <w:t>食紅</w:t>
            </w:r>
          </w:p>
        </w:tc>
        <w:tc>
          <w:tcPr>
            <w:tcW w:w="2901" w:type="dxa"/>
          </w:tcPr>
          <w:p w14:paraId="3EA5B576" w14:textId="77777777" w:rsidR="00F22810" w:rsidRDefault="00816F27" w:rsidP="00C51063">
            <w:r>
              <w:rPr>
                <w:rFonts w:hint="eastAsia"/>
              </w:rPr>
              <w:t>54(0.5g)</w:t>
            </w:r>
          </w:p>
        </w:tc>
        <w:tc>
          <w:tcPr>
            <w:tcW w:w="2901" w:type="dxa"/>
          </w:tcPr>
          <w:p w14:paraId="762F46C8" w14:textId="77777777" w:rsidR="00F22810" w:rsidRDefault="00816F27" w:rsidP="00C51063">
            <w:r>
              <w:rPr>
                <w:rFonts w:hint="eastAsia"/>
              </w:rPr>
              <w:t>2150(20g)</w:t>
            </w:r>
          </w:p>
        </w:tc>
      </w:tr>
    </w:tbl>
    <w:p w14:paraId="44B0EB54" w14:textId="77777777" w:rsidR="00C51063" w:rsidRDefault="00C51063" w:rsidP="00C51063"/>
    <w:p w14:paraId="5240BC19" w14:textId="77777777" w:rsidR="00C51063" w:rsidRDefault="00AE6DDE" w:rsidP="00C51063">
      <w:pPr>
        <w:pStyle w:val="a3"/>
        <w:numPr>
          <w:ilvl w:val="0"/>
          <w:numId w:val="1"/>
        </w:numPr>
        <w:ind w:leftChars="0"/>
      </w:pPr>
      <w:r>
        <w:rPr>
          <w:rFonts w:hint="eastAsia"/>
        </w:rPr>
        <w:t>実験理論</w:t>
      </w:r>
    </w:p>
    <w:p w14:paraId="187CE8F8" w14:textId="77777777" w:rsidR="00AE6DDE" w:rsidRDefault="00AE6DDE" w:rsidP="00AE6DDE">
      <w:pPr>
        <w:ind w:firstLineChars="100" w:firstLine="210"/>
      </w:pPr>
      <w:r>
        <w:rPr>
          <w:rFonts w:hint="eastAsia"/>
        </w:rPr>
        <w:t>アルギン酸ナトリウム水溶液中では</w:t>
      </w:r>
      <w:r>
        <w:rPr>
          <w:rFonts w:hint="eastAsia"/>
        </w:rPr>
        <w:t>Na</w:t>
      </w:r>
      <w:r>
        <w:rPr>
          <w:rFonts w:hint="eastAsia"/>
        </w:rPr>
        <w:t>⁺が電離する。アルギン酸は塩化カルシウム水溶液中の</w:t>
      </w:r>
      <w:r>
        <w:rPr>
          <w:rFonts w:hint="eastAsia"/>
        </w:rPr>
        <w:t>Ca</w:t>
      </w:r>
      <w:r>
        <w:rPr>
          <w:rFonts w:hint="eastAsia"/>
        </w:rPr>
        <w:t>²⁺と反応し難溶性のアルギン酸カルシウムを生成する。アルギン酸ナトリウムを塩化カルシウム水溶液に滴下すると、滴下した溶液の境界面でこの反応が起こり表面にアルギン酸カルシウムの膜が形成される。この時点で滴球内部は粘性のある液体でありイクラのような構造になる。放置しておくと内部までアルギン酸カルシウムになる。</w:t>
      </w:r>
    </w:p>
    <w:p w14:paraId="0B023C6D" w14:textId="77777777" w:rsidR="00AE6DDE" w:rsidRDefault="00AE6DDE" w:rsidP="00AE6DDE"/>
    <w:p w14:paraId="6FD4DC44" w14:textId="77777777" w:rsidR="00AE6DDE" w:rsidRDefault="00AE6DDE" w:rsidP="00AE6DDE">
      <w:pPr>
        <w:pStyle w:val="a3"/>
        <w:numPr>
          <w:ilvl w:val="0"/>
          <w:numId w:val="1"/>
        </w:numPr>
        <w:ind w:leftChars="0"/>
      </w:pPr>
      <w:r>
        <w:t>実験方法</w:t>
      </w:r>
    </w:p>
    <w:p w14:paraId="5412FF28" w14:textId="77777777" w:rsidR="00AE6DDE" w:rsidRPr="00AE6DDE" w:rsidRDefault="00AE6DDE" w:rsidP="00AE6DDE">
      <w:pPr>
        <w:ind w:firstLineChars="100" w:firstLine="210"/>
      </w:pPr>
      <w:r>
        <w:rPr>
          <w:rFonts w:hint="eastAsia"/>
        </w:rPr>
        <w:t>アルギン酸ナトリウム水溶液をスポイトにとり、塩化カルシウム水溶液に滴下する。滴下物の表面の膜形成を確認し、その後取り出し、潰して、感触を確認する。</w:t>
      </w:r>
    </w:p>
    <w:p w14:paraId="77D39571" w14:textId="77777777" w:rsidR="00C51063" w:rsidRDefault="00C51063" w:rsidP="00C51063"/>
    <w:p w14:paraId="0B19102F" w14:textId="77777777" w:rsidR="00C51063" w:rsidRDefault="00C51063" w:rsidP="00C51063">
      <w:pPr>
        <w:pStyle w:val="a3"/>
        <w:numPr>
          <w:ilvl w:val="0"/>
          <w:numId w:val="1"/>
        </w:numPr>
        <w:ind w:leftChars="0"/>
      </w:pPr>
      <w:r>
        <w:rPr>
          <w:rFonts w:hint="eastAsia"/>
        </w:rPr>
        <w:t>実験結果</w:t>
      </w:r>
      <w:r w:rsidR="00EA41C9">
        <w:rPr>
          <w:rFonts w:hint="eastAsia"/>
        </w:rPr>
        <w:t>・考察</w:t>
      </w:r>
    </w:p>
    <w:p w14:paraId="5B8E7F90" w14:textId="77777777" w:rsidR="00EA41C9" w:rsidRDefault="00C51063" w:rsidP="00EA41C9">
      <w:r>
        <w:rPr>
          <w:rFonts w:hint="eastAsia"/>
        </w:rPr>
        <w:t xml:space="preserve">　塩化カルシウム水溶液にアルギン酸ナトリウム水溶液をスポイトで</w:t>
      </w:r>
      <w:r w:rsidR="00EA41C9">
        <w:rPr>
          <w:rFonts w:hint="eastAsia"/>
        </w:rPr>
        <w:t>滴下すると球状の膜ができた。このことから塩化カルシウム水溶液にアルギン酸ナトリウム水溶液が触れた瞬間に不溶性のアルギン酸カルシウム枯れは膜を形成したと考えられる。滴下直後は浮いていたが</w:t>
      </w:r>
      <w:r>
        <w:rPr>
          <w:rFonts w:hint="eastAsia"/>
        </w:rPr>
        <w:t>数十分すると沈み、</w:t>
      </w:r>
      <w:r w:rsidR="00EA41C9">
        <w:rPr>
          <w:rFonts w:hint="eastAsia"/>
        </w:rPr>
        <w:t>内部に含まれていた赤色の液体が染み出て透明になった。膜内</w:t>
      </w:r>
      <w:r w:rsidR="00EA41C9">
        <w:rPr>
          <w:rFonts w:hint="eastAsia"/>
        </w:rPr>
        <w:lastRenderedPageBreak/>
        <w:t>に含まれる</w:t>
      </w:r>
      <w:r w:rsidR="00EA41C9">
        <w:rPr>
          <w:rFonts w:hint="eastAsia"/>
        </w:rPr>
        <w:t>Na+</w:t>
      </w:r>
      <w:r w:rsidR="00EA41C9">
        <w:rPr>
          <w:rFonts w:hint="eastAsia"/>
        </w:rPr>
        <w:t>より溶媒中の</w:t>
      </w:r>
      <w:r w:rsidR="00EA41C9">
        <w:rPr>
          <w:rFonts w:hint="eastAsia"/>
        </w:rPr>
        <w:t>Ca2-</w:t>
      </w:r>
      <w:r w:rsidR="00EA41C9">
        <w:rPr>
          <w:rFonts w:hint="eastAsia"/>
        </w:rPr>
        <w:t>の方が重いため人工イクラは浮いていたが、半透膜を介して膜内のイオンと溶媒中のイオンが行き来し、膜内外イオン濃度が均等になったことで、膜本来の重さにより沈んだと考えられる。その際に、半透膜を介して食紅も膜外に拡散されたことによって人工イクラの色が抜けた。</w:t>
      </w:r>
    </w:p>
    <w:p w14:paraId="04C0A2C3" w14:textId="77777777" w:rsidR="00EA41C9" w:rsidRDefault="00EA41C9" w:rsidP="00EA41C9"/>
    <w:p w14:paraId="6D30D872" w14:textId="77777777" w:rsidR="00EA41C9" w:rsidRDefault="00EA41C9" w:rsidP="00EA41C9">
      <w:pPr>
        <w:pStyle w:val="a3"/>
        <w:numPr>
          <w:ilvl w:val="0"/>
          <w:numId w:val="1"/>
        </w:numPr>
        <w:ind w:leftChars="0"/>
      </w:pPr>
      <w:r>
        <w:rPr>
          <w:rFonts w:hint="eastAsia"/>
        </w:rPr>
        <w:t>授業風景</w:t>
      </w:r>
    </w:p>
    <w:p w14:paraId="05EC83CE" w14:textId="77777777" w:rsidR="00EA41C9" w:rsidRDefault="00391765" w:rsidP="00EA41C9">
      <w:r>
        <w:rPr>
          <w:noProof/>
        </w:rPr>
        <w:drawing>
          <wp:inline distT="0" distB="0" distL="0" distR="0" wp14:anchorId="075B2CA4" wp14:editId="07A5B22E">
            <wp:extent cx="4057650" cy="2162175"/>
            <wp:effectExtent l="0" t="0" r="0" b="9525"/>
            <wp:docPr id="1" name="図 1" descr="Macintosh HD:Users:kota:Pictures:iPhoto Library.photolibrary:Masters:2014:06:29:20140629-202941:IMG_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ota:Pictures:iPhoto Library.photolibrary:Masters:2014:06:29:20140629-202941:IMG_2424.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t="19681" r="11434" b="17395"/>
                    <a:stretch/>
                  </pic:blipFill>
                  <pic:spPr bwMode="auto">
                    <a:xfrm>
                      <a:off x="0" y="0"/>
                      <a:ext cx="4063903" cy="2165507"/>
                    </a:xfrm>
                    <a:prstGeom prst="rect">
                      <a:avLst/>
                    </a:prstGeom>
                    <a:noFill/>
                    <a:ln>
                      <a:noFill/>
                    </a:ln>
                    <a:extLst>
                      <a:ext uri="{53640926-AAD7-44D8-BBD7-CCE9431645EC}">
                        <a14:shadowObscured xmlns:a14="http://schemas.microsoft.com/office/drawing/2010/main"/>
                      </a:ext>
                    </a:extLst>
                  </pic:spPr>
                </pic:pic>
              </a:graphicData>
            </a:graphic>
          </wp:inline>
        </w:drawing>
      </w:r>
    </w:p>
    <w:p w14:paraId="5D892903" w14:textId="6D285E0D" w:rsidR="00391765" w:rsidRDefault="00391765" w:rsidP="00EA41C9">
      <w:r>
        <w:rPr>
          <w:rFonts w:hint="eastAsia"/>
        </w:rPr>
        <w:t>図</w:t>
      </w:r>
      <w:r>
        <w:t xml:space="preserve">1 </w:t>
      </w:r>
      <w:r>
        <w:rPr>
          <w:rFonts w:hint="eastAsia"/>
        </w:rPr>
        <w:t>授業風景</w:t>
      </w:r>
      <w:r w:rsidR="00914F2E">
        <w:rPr>
          <w:rFonts w:ascii="ＭＳ 明朝" w:eastAsia="ＭＳ 明朝" w:hAnsi="ＭＳ 明朝" w:cs="ＭＳ 明朝" w:hint="eastAsia"/>
        </w:rPr>
        <w:t>①</w:t>
      </w:r>
    </w:p>
    <w:p w14:paraId="6E4D1811" w14:textId="77777777" w:rsidR="00914F2E" w:rsidRDefault="00914F2E" w:rsidP="00EA41C9"/>
    <w:p w14:paraId="71F73440" w14:textId="77777777" w:rsidR="00391765" w:rsidRDefault="00391765" w:rsidP="00EA41C9">
      <w:r>
        <w:rPr>
          <w:rFonts w:hint="eastAsia"/>
          <w:noProof/>
        </w:rPr>
        <w:drawing>
          <wp:inline distT="0" distB="0" distL="0" distR="0" wp14:anchorId="6CB644EA" wp14:editId="3C2A8F55">
            <wp:extent cx="4006851" cy="1790700"/>
            <wp:effectExtent l="0" t="0" r="0" b="0"/>
            <wp:docPr id="3" name="図 3" descr="Macintosh HD:Users:kota:Pictures:iPhoto Library.photolibrary:Masters:2014:06:29:20140629-202941:IMG_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ota:Pictures:iPhoto Library.photolibrary:Masters:2014:06:29:20140629-202941:IMG_2426.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l="10623" t="24363" b="22379"/>
                    <a:stretch/>
                  </pic:blipFill>
                  <pic:spPr bwMode="auto">
                    <a:xfrm>
                      <a:off x="0" y="0"/>
                      <a:ext cx="4012053" cy="1793025"/>
                    </a:xfrm>
                    <a:prstGeom prst="rect">
                      <a:avLst/>
                    </a:prstGeom>
                    <a:noFill/>
                    <a:ln>
                      <a:noFill/>
                    </a:ln>
                    <a:extLst>
                      <a:ext uri="{53640926-AAD7-44D8-BBD7-CCE9431645EC}">
                        <a14:shadowObscured xmlns:a14="http://schemas.microsoft.com/office/drawing/2010/main"/>
                      </a:ext>
                    </a:extLst>
                  </pic:spPr>
                </pic:pic>
              </a:graphicData>
            </a:graphic>
          </wp:inline>
        </w:drawing>
      </w:r>
    </w:p>
    <w:p w14:paraId="339C6520" w14:textId="6FCDD753" w:rsidR="00391765" w:rsidRDefault="00391765" w:rsidP="00EA41C9">
      <w:r>
        <w:rPr>
          <w:rFonts w:hint="eastAsia"/>
        </w:rPr>
        <w:t>図</w:t>
      </w:r>
      <w:r>
        <w:t xml:space="preserve">2 </w:t>
      </w:r>
      <w:r>
        <w:rPr>
          <w:rFonts w:hint="eastAsia"/>
        </w:rPr>
        <w:t>授業風景</w:t>
      </w:r>
      <w:r w:rsidR="00914F2E">
        <w:rPr>
          <w:rFonts w:hint="eastAsia"/>
        </w:rPr>
        <w:t>①</w:t>
      </w:r>
    </w:p>
    <w:p w14:paraId="46CA751A" w14:textId="77777777" w:rsidR="00914F2E" w:rsidRDefault="00914F2E" w:rsidP="00EA41C9"/>
    <w:p w14:paraId="11E0496E" w14:textId="7BFAC3AA" w:rsidR="00391765" w:rsidRDefault="00DA33B0" w:rsidP="00EA41C9">
      <w:r>
        <w:rPr>
          <w:noProof/>
        </w:rPr>
        <w:drawing>
          <wp:inline distT="0" distB="0" distL="0" distR="0" wp14:anchorId="5E3146D8" wp14:editId="17BF4861">
            <wp:extent cx="5400040" cy="1467017"/>
            <wp:effectExtent l="0" t="0" r="0" b="0"/>
            <wp:docPr id="4" name="図 4" descr="Macintosh HD:Users:kota:Pictures:iPhoto Library.photolibrary:Masters:2014:06:29:20140629-202941:IMG_2427.JPG"/>
            <wp:cNvGraphicFramePr/>
            <a:graphic xmlns:a="http://schemas.openxmlformats.org/drawingml/2006/main">
              <a:graphicData uri="http://schemas.openxmlformats.org/drawingml/2006/picture">
                <pic:pic xmlns:pic="http://schemas.openxmlformats.org/drawingml/2006/picture">
                  <pic:nvPicPr>
                    <pic:cNvPr id="4" name="図 4" descr="Macintosh HD:Users:kota:Pictures:iPhoto Library.photolibrary:Masters:2014:06:29:20140629-202941:IMG_2427.JPG"/>
                    <pic:cNvPicPr/>
                  </pic:nvPicPr>
                  <pic:blipFill rotWithShape="1">
                    <a:blip r:embed="rId10" cstate="email">
                      <a:extLst>
                        <a:ext uri="{28A0092B-C50C-407E-A947-70E740481C1C}">
                          <a14:useLocalDpi xmlns:a14="http://schemas.microsoft.com/office/drawing/2010/main"/>
                        </a:ext>
                      </a:extLst>
                    </a:blip>
                    <a:srcRect l="3612" t="37677" r="5878" b="36261"/>
                    <a:stretch/>
                  </pic:blipFill>
                  <pic:spPr bwMode="auto">
                    <a:xfrm>
                      <a:off x="0" y="0"/>
                      <a:ext cx="5400040" cy="1467017"/>
                    </a:xfrm>
                    <a:prstGeom prst="rect">
                      <a:avLst/>
                    </a:prstGeom>
                    <a:noFill/>
                    <a:ln>
                      <a:noFill/>
                    </a:ln>
                    <a:extLst>
                      <a:ext uri="{53640926-AAD7-44D8-BBD7-CCE9431645EC}">
                        <a14:shadowObscured xmlns:a14="http://schemas.microsoft.com/office/drawing/2010/main"/>
                      </a:ext>
                    </a:extLst>
                  </pic:spPr>
                </pic:pic>
              </a:graphicData>
            </a:graphic>
          </wp:inline>
        </w:drawing>
      </w:r>
    </w:p>
    <w:p w14:paraId="0CDD96B4" w14:textId="23755CAB" w:rsidR="00914F2E" w:rsidRDefault="00391765" w:rsidP="00EA41C9">
      <w:r>
        <w:rPr>
          <w:rFonts w:hint="eastAsia"/>
        </w:rPr>
        <w:t>図</w:t>
      </w:r>
      <w:r>
        <w:t xml:space="preserve">3 </w:t>
      </w:r>
      <w:r>
        <w:rPr>
          <w:rFonts w:hint="eastAsia"/>
        </w:rPr>
        <w:t>板書</w:t>
      </w:r>
    </w:p>
    <w:p w14:paraId="6870D207" w14:textId="77777777" w:rsidR="00907314" w:rsidRDefault="00907314" w:rsidP="00EA41C9"/>
    <w:p w14:paraId="0D5260A5" w14:textId="77777777" w:rsidR="00EA41C9" w:rsidRDefault="00EA41C9" w:rsidP="00EA41C9">
      <w:pPr>
        <w:pStyle w:val="a3"/>
        <w:numPr>
          <w:ilvl w:val="0"/>
          <w:numId w:val="1"/>
        </w:numPr>
        <w:ind w:leftChars="0"/>
      </w:pPr>
      <w:r>
        <w:rPr>
          <w:rFonts w:hint="eastAsia"/>
        </w:rPr>
        <w:t>評価</w:t>
      </w:r>
    </w:p>
    <w:p w14:paraId="2C5264A5" w14:textId="5BF1CAE2" w:rsidR="00EA41C9" w:rsidRDefault="00907314" w:rsidP="00EA41C9">
      <w:r>
        <w:t>よ</w:t>
      </w:r>
      <w:r w:rsidR="00EA41C9">
        <w:rPr>
          <w:rFonts w:hint="eastAsia"/>
        </w:rPr>
        <w:t>かった点</w:t>
      </w:r>
    </w:p>
    <w:p w14:paraId="6FEBEB73" w14:textId="77777777" w:rsidR="009359DD" w:rsidRDefault="00EA41C9" w:rsidP="00EA41C9">
      <w:r>
        <w:rPr>
          <w:rFonts w:hint="eastAsia"/>
        </w:rPr>
        <w:t>・</w:t>
      </w:r>
      <w:r w:rsidR="009359DD">
        <w:rPr>
          <w:rFonts w:hint="eastAsia"/>
        </w:rPr>
        <w:t>用語を適切に用いていた。</w:t>
      </w:r>
    </w:p>
    <w:p w14:paraId="48B48EFE" w14:textId="77777777" w:rsidR="009359DD" w:rsidRDefault="009359DD" w:rsidP="00EA41C9">
      <w:r>
        <w:rPr>
          <w:rFonts w:hint="eastAsia"/>
        </w:rPr>
        <w:t>・実験時の巡回が適当だった。</w:t>
      </w:r>
    </w:p>
    <w:p w14:paraId="51DE759F" w14:textId="77777777" w:rsidR="009359DD" w:rsidRDefault="009359DD" w:rsidP="00EA41C9">
      <w:r>
        <w:rPr>
          <w:rFonts w:hint="eastAsia"/>
        </w:rPr>
        <w:t>・説明が落ち着いていてわかりやすい。</w:t>
      </w:r>
    </w:p>
    <w:p w14:paraId="5E533C50" w14:textId="77777777" w:rsidR="009359DD" w:rsidRDefault="009359DD" w:rsidP="00EA41C9">
      <w:r>
        <w:rPr>
          <w:rFonts w:hint="eastAsia"/>
        </w:rPr>
        <w:t>・図が見やすく板書がわかりやすい。</w:t>
      </w:r>
    </w:p>
    <w:p w14:paraId="3A3DA3F4" w14:textId="77777777" w:rsidR="009359DD" w:rsidRDefault="009359DD" w:rsidP="00EA41C9">
      <w:r>
        <w:rPr>
          <w:rFonts w:hint="eastAsia"/>
        </w:rPr>
        <w:t>・大学前の予習としては発展的で良い内容であった。</w:t>
      </w:r>
    </w:p>
    <w:p w14:paraId="69C787C7" w14:textId="77777777" w:rsidR="009359DD" w:rsidRDefault="009359DD" w:rsidP="00EA41C9">
      <w:r>
        <w:rPr>
          <w:rFonts w:hint="eastAsia"/>
        </w:rPr>
        <w:t>・実験が面白かった。</w:t>
      </w:r>
    </w:p>
    <w:p w14:paraId="26B0C9B7" w14:textId="77777777" w:rsidR="009359DD" w:rsidRDefault="009359DD" w:rsidP="00EA41C9">
      <w:r>
        <w:rPr>
          <w:rFonts w:hint="eastAsia"/>
        </w:rPr>
        <w:t>・話が面白かった。</w:t>
      </w:r>
    </w:p>
    <w:p w14:paraId="673744F3" w14:textId="77777777" w:rsidR="00F22810" w:rsidRDefault="00F22810" w:rsidP="00EA41C9"/>
    <w:p w14:paraId="4E5D0574" w14:textId="77777777" w:rsidR="009359DD" w:rsidRDefault="009359DD" w:rsidP="00EA41C9">
      <w:r>
        <w:rPr>
          <w:rFonts w:hint="eastAsia"/>
        </w:rPr>
        <w:t>改善点</w:t>
      </w:r>
    </w:p>
    <w:p w14:paraId="61A7118C" w14:textId="77777777" w:rsidR="009359DD" w:rsidRDefault="009359DD" w:rsidP="00EA41C9">
      <w:r>
        <w:rPr>
          <w:rFonts w:hint="eastAsia"/>
        </w:rPr>
        <w:t>・話し方に抑揚がなかったのでメリハリをつけると良い。</w:t>
      </w:r>
    </w:p>
    <w:p w14:paraId="615922F7" w14:textId="77777777" w:rsidR="009359DD" w:rsidRDefault="009359DD" w:rsidP="00EA41C9">
      <w:r>
        <w:rPr>
          <w:rFonts w:hint="eastAsia"/>
        </w:rPr>
        <w:t>・解説の内容が理解しづらかった。</w:t>
      </w:r>
    </w:p>
    <w:p w14:paraId="339F4848" w14:textId="77777777" w:rsidR="009359DD" w:rsidRDefault="009359DD" w:rsidP="00EA41C9">
      <w:r>
        <w:rPr>
          <w:rFonts w:hint="eastAsia"/>
        </w:rPr>
        <w:t>・エントロピーを用いるなら正確に説明するべき。</w:t>
      </w:r>
    </w:p>
    <w:p w14:paraId="00A4B0E0" w14:textId="77777777" w:rsidR="009359DD" w:rsidRDefault="009359DD" w:rsidP="00EA41C9">
      <w:r>
        <w:rPr>
          <w:rFonts w:hint="eastAsia"/>
        </w:rPr>
        <w:t>・題名などがなく板書しづらい。</w:t>
      </w:r>
    </w:p>
    <w:p w14:paraId="49223620" w14:textId="77777777" w:rsidR="009359DD" w:rsidRDefault="009359DD" w:rsidP="00EA41C9">
      <w:r>
        <w:rPr>
          <w:rFonts w:hint="eastAsia"/>
        </w:rPr>
        <w:t>・説明につまるなど準備不足な点があった。</w:t>
      </w:r>
    </w:p>
    <w:p w14:paraId="40833EAC" w14:textId="77777777" w:rsidR="009359DD" w:rsidRDefault="009359DD" w:rsidP="00EA41C9">
      <w:r>
        <w:rPr>
          <w:rFonts w:hint="eastAsia"/>
        </w:rPr>
        <w:t>・実験道具が回収されなかったため遊んでしまう。</w:t>
      </w:r>
    </w:p>
    <w:p w14:paraId="060811A6" w14:textId="77777777" w:rsidR="00F82973" w:rsidRDefault="00F82973" w:rsidP="00EA41C9">
      <w:r>
        <w:rPr>
          <w:rFonts w:hint="eastAsia"/>
        </w:rPr>
        <w:t>・予定通りにいかなこともあるため準備や練習をしっかりする必要がある。</w:t>
      </w:r>
    </w:p>
    <w:p w14:paraId="1FE76A29" w14:textId="77777777" w:rsidR="00125D96" w:rsidRPr="00125D96" w:rsidRDefault="00125D96" w:rsidP="00EA41C9"/>
    <w:p w14:paraId="2AECB3B0" w14:textId="7DDD6F45" w:rsidR="00EA41C9" w:rsidRDefault="00F22810" w:rsidP="00F22810">
      <w:pPr>
        <w:rPr>
          <w:rFonts w:hint="eastAsia"/>
        </w:rPr>
      </w:pPr>
      <w:r>
        <w:rPr>
          <w:rFonts w:hint="eastAsia"/>
        </w:rPr>
        <w:t>表</w:t>
      </w:r>
      <w:r>
        <w:rPr>
          <w:rFonts w:hint="eastAsia"/>
        </w:rPr>
        <w:t xml:space="preserve">1 </w:t>
      </w:r>
      <w:r w:rsidRPr="00125D96">
        <w:rPr>
          <w:rFonts w:hint="eastAsia"/>
        </w:rPr>
        <w:t>生徒による評価</w:t>
      </w:r>
      <w:r w:rsidRPr="00125D96">
        <w:rPr>
          <w:rFonts w:hint="eastAsia"/>
        </w:rPr>
        <w:t>(5</w:t>
      </w:r>
      <w:r w:rsidRPr="00125D96">
        <w:rPr>
          <w:rFonts w:hint="eastAsia"/>
        </w:rPr>
        <w:t>段階評価</w:t>
      </w:r>
      <w:r w:rsidRPr="00125D96">
        <w:rPr>
          <w:rFonts w:hint="eastAsia"/>
        </w:rPr>
        <w:t>)</w:t>
      </w:r>
      <w:r>
        <w:rPr>
          <w:rFonts w:hint="eastAsia"/>
        </w:rPr>
        <w:t xml:space="preserve">　学生</w:t>
      </w:r>
      <w:r>
        <w:rPr>
          <w:rFonts w:hint="eastAsia"/>
        </w:rPr>
        <w:t>16</w:t>
      </w:r>
      <w:r>
        <w:rPr>
          <w:rFonts w:hint="eastAsia"/>
        </w:rPr>
        <w:t>名　教員</w:t>
      </w:r>
      <w:r>
        <w:rPr>
          <w:rFonts w:hint="eastAsia"/>
        </w:rPr>
        <w:t>2</w:t>
      </w:r>
      <w:r>
        <w:rPr>
          <w:rFonts w:hint="eastAsia"/>
        </w:rPr>
        <w:t>名　計</w:t>
      </w:r>
      <w:r>
        <w:rPr>
          <w:rFonts w:hint="eastAsia"/>
        </w:rPr>
        <w:t>18</w:t>
      </w:r>
      <w:r>
        <w:rPr>
          <w:rFonts w:hint="eastAsia"/>
        </w:rPr>
        <w:t>名</w:t>
      </w:r>
    </w:p>
    <w:p w14:paraId="3BF762E1" w14:textId="17CF1175" w:rsidR="00125D96" w:rsidRDefault="00125D96" w:rsidP="00125D96">
      <w:pPr>
        <w:jc w:val="center"/>
      </w:pPr>
      <w:r>
        <w:object w:dxaOrig="6689" w:dyaOrig="3931" w14:anchorId="1C991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10.75pt" o:ole="">
            <v:imagedata r:id="rId11" o:title=""/>
          </v:shape>
          <o:OLEObject Type="Embed" ProgID="Excel.Sheet.12" ShapeID="_x0000_i1025" DrawAspect="Content" ObjectID="_1466121120" r:id="rId12"/>
        </w:object>
      </w:r>
    </w:p>
    <w:p w14:paraId="0EB311E9" w14:textId="6BCCF6CC" w:rsidR="00E6046E" w:rsidRDefault="00E6046E" w:rsidP="00125D96">
      <w:pPr>
        <w:jc w:val="center"/>
      </w:pPr>
      <w:r>
        <w:rPr>
          <w:noProof/>
        </w:rPr>
        <w:lastRenderedPageBreak/>
        <w:drawing>
          <wp:inline distT="0" distB="0" distL="0" distR="0" wp14:anchorId="3124E84C" wp14:editId="64668630">
            <wp:extent cx="4524375" cy="2727325"/>
            <wp:effectExtent l="0" t="0" r="9525" b="1587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C2C714" w14:textId="6D0F4C33" w:rsidR="00E6046E" w:rsidRDefault="00E6046E" w:rsidP="00125D96">
      <w:pPr>
        <w:jc w:val="center"/>
      </w:pPr>
      <w:r>
        <w:rPr>
          <w:rFonts w:hint="eastAsia"/>
        </w:rPr>
        <w:t>図</w:t>
      </w:r>
      <w:r>
        <w:rPr>
          <w:rFonts w:hint="eastAsia"/>
        </w:rPr>
        <w:t xml:space="preserve">4 </w:t>
      </w:r>
      <w:r>
        <w:rPr>
          <w:rFonts w:hint="eastAsia"/>
        </w:rPr>
        <w:t>評価内容の平均点の推移</w:t>
      </w:r>
    </w:p>
    <w:p w14:paraId="55B627C0" w14:textId="77777777" w:rsidR="00EA41C9" w:rsidRDefault="00EA41C9" w:rsidP="00EA41C9">
      <w:pPr>
        <w:pStyle w:val="a3"/>
        <w:numPr>
          <w:ilvl w:val="0"/>
          <w:numId w:val="1"/>
        </w:numPr>
        <w:ind w:leftChars="0"/>
      </w:pPr>
      <w:r>
        <w:rPr>
          <w:rFonts w:hint="eastAsia"/>
        </w:rPr>
        <w:t>改善点と反省</w:t>
      </w:r>
    </w:p>
    <w:p w14:paraId="481FCF29" w14:textId="3BA5A9D7" w:rsidR="009359DD" w:rsidRPr="00C51063" w:rsidRDefault="00F82973" w:rsidP="009359DD">
      <w:r>
        <w:rPr>
          <w:rFonts w:hint="eastAsia"/>
        </w:rPr>
        <w:t xml:space="preserve">　今回は実験試薬の調達に手間取ってしまったため、身近なものを利用することを心掛けたい。模擬授業では、原理の説明が難しく理解できなかったとの意見が多くあった。不明な点をそのままにせず、講師が理解してから説明する必要がある。また、話し方に抑揚をつけることで生徒を引き付ける授業ができるようにしたい。実験では</w:t>
      </w:r>
      <w:r w:rsidR="008A5370">
        <w:rPr>
          <w:rFonts w:hint="eastAsia"/>
        </w:rPr>
        <w:t>、</w:t>
      </w:r>
      <w:r>
        <w:rPr>
          <w:rFonts w:hint="eastAsia"/>
        </w:rPr>
        <w:t>道具の説明や注意点を口頭ではあるが全員に聞こえる大きさで話したが、注意点などを理解していない生徒もいたので、黒板にも書く必要がある。しかし、実験道具の予備を用意していたので緊急事態に対応することができた。実験道具については</w:t>
      </w:r>
      <w:r w:rsidR="008A5370">
        <w:rPr>
          <w:rFonts w:hint="eastAsia"/>
        </w:rPr>
        <w:t>、人工イクラが沈むのを確認してもらうためにそのまま回収せずにいたが、予想通り遊んでしまう生徒もいたので、教卓に一つ用意して、そこで確認させるべきであった。実験自体はとてもインパクトがあり、生徒も満足していたので良かった。</w:t>
      </w:r>
      <w:r w:rsidR="00C67308">
        <w:rPr>
          <w:rFonts w:hint="eastAsia"/>
        </w:rPr>
        <w:t>第１回から第４回までを通して、評価は全体的に回を重ねるごとに高くなってきたが、項目②⑦は</w:t>
      </w:r>
      <w:r w:rsidR="0097615B">
        <w:rPr>
          <w:rFonts w:hint="eastAsia"/>
        </w:rPr>
        <w:t>回を重ねるごとに低くなっていたので、生徒に聞こえる声で話す必要がある。また、実験と講義の内容をうまく関連付けることができず、生徒の理解を促すことができなかったので改善したい。</w:t>
      </w:r>
      <w:r w:rsidR="00914F2E">
        <w:rPr>
          <w:rFonts w:hint="eastAsia"/>
        </w:rPr>
        <w:t>理科教育法Ⅳの模擬授業を通して学んだことをこれからの</w:t>
      </w:r>
      <w:r w:rsidR="00C67308">
        <w:rPr>
          <w:rFonts w:hint="eastAsia"/>
        </w:rPr>
        <w:t>人生に活かしていきたい。</w:t>
      </w:r>
    </w:p>
    <w:sectPr w:rsidR="009359DD" w:rsidRPr="00C51063">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FF87C" w14:textId="77777777" w:rsidR="003F0878" w:rsidRDefault="003F0878" w:rsidP="00AE6DDE">
      <w:r>
        <w:separator/>
      </w:r>
    </w:p>
  </w:endnote>
  <w:endnote w:type="continuationSeparator" w:id="0">
    <w:p w14:paraId="61E3A961" w14:textId="77777777" w:rsidR="003F0878" w:rsidRDefault="003F0878" w:rsidP="00AE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N W3">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204124"/>
      <w:docPartObj>
        <w:docPartGallery w:val="Page Numbers (Bottom of Page)"/>
        <w:docPartUnique/>
      </w:docPartObj>
    </w:sdtPr>
    <w:sdtContent>
      <w:p w14:paraId="23AD21EE" w14:textId="1F40BF51" w:rsidR="00125D96" w:rsidRDefault="00125D96">
        <w:pPr>
          <w:pStyle w:val="a9"/>
          <w:jc w:val="center"/>
        </w:pPr>
        <w:r>
          <w:fldChar w:fldCharType="begin"/>
        </w:r>
        <w:r>
          <w:instrText>PAGE   \* MERGEFORMAT</w:instrText>
        </w:r>
        <w:r>
          <w:fldChar w:fldCharType="separate"/>
        </w:r>
        <w:r w:rsidRPr="00125D96">
          <w:rPr>
            <w:noProof/>
            <w:lang w:val="ja-JP"/>
          </w:rPr>
          <w:t>1</w:t>
        </w:r>
        <w:r>
          <w:fldChar w:fldCharType="end"/>
        </w:r>
      </w:p>
    </w:sdtContent>
  </w:sdt>
  <w:p w14:paraId="2932F0D1" w14:textId="77777777" w:rsidR="00125D96" w:rsidRDefault="00125D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A6BFC" w14:textId="77777777" w:rsidR="003F0878" w:rsidRDefault="003F0878" w:rsidP="00AE6DDE">
      <w:r>
        <w:separator/>
      </w:r>
    </w:p>
  </w:footnote>
  <w:footnote w:type="continuationSeparator" w:id="0">
    <w:p w14:paraId="5C95A0D8" w14:textId="77777777" w:rsidR="003F0878" w:rsidRDefault="003F0878" w:rsidP="00AE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3C1"/>
    <w:multiLevelType w:val="hybridMultilevel"/>
    <w:tmpl w:val="56C67B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8D055E"/>
    <w:multiLevelType w:val="hybridMultilevel"/>
    <w:tmpl w:val="510811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E93F42"/>
    <w:multiLevelType w:val="hybridMultilevel"/>
    <w:tmpl w:val="0AEAF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63"/>
    <w:rsid w:val="000A13C9"/>
    <w:rsid w:val="00125D96"/>
    <w:rsid w:val="00391765"/>
    <w:rsid w:val="003F0878"/>
    <w:rsid w:val="005E6D6D"/>
    <w:rsid w:val="005F10B3"/>
    <w:rsid w:val="006522CA"/>
    <w:rsid w:val="00816F27"/>
    <w:rsid w:val="008A5370"/>
    <w:rsid w:val="008E786D"/>
    <w:rsid w:val="00907314"/>
    <w:rsid w:val="00914F2E"/>
    <w:rsid w:val="009359DD"/>
    <w:rsid w:val="0097615B"/>
    <w:rsid w:val="00A20C33"/>
    <w:rsid w:val="00AE6DDE"/>
    <w:rsid w:val="00C51063"/>
    <w:rsid w:val="00C67308"/>
    <w:rsid w:val="00DA33B0"/>
    <w:rsid w:val="00E256CF"/>
    <w:rsid w:val="00E6046E"/>
    <w:rsid w:val="00EA41C9"/>
    <w:rsid w:val="00F22810"/>
    <w:rsid w:val="00F82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AB1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063"/>
    <w:pPr>
      <w:ind w:leftChars="400" w:left="840"/>
    </w:pPr>
  </w:style>
  <w:style w:type="table" w:styleId="a4">
    <w:name w:val="Table Grid"/>
    <w:basedOn w:val="a1"/>
    <w:uiPriority w:val="59"/>
    <w:rsid w:val="00F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F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522CA"/>
    <w:rPr>
      <w:color w:val="0000FF" w:themeColor="hyperlink"/>
      <w:u w:val="single"/>
    </w:rPr>
  </w:style>
  <w:style w:type="character" w:styleId="a6">
    <w:name w:val="FollowedHyperlink"/>
    <w:basedOn w:val="a0"/>
    <w:uiPriority w:val="99"/>
    <w:semiHidden/>
    <w:unhideWhenUsed/>
    <w:rsid w:val="006522CA"/>
    <w:rPr>
      <w:color w:val="800080" w:themeColor="followedHyperlink"/>
      <w:u w:val="single"/>
    </w:rPr>
  </w:style>
  <w:style w:type="paragraph" w:styleId="a7">
    <w:name w:val="header"/>
    <w:basedOn w:val="a"/>
    <w:link w:val="a8"/>
    <w:uiPriority w:val="99"/>
    <w:unhideWhenUsed/>
    <w:rsid w:val="00AE6DDE"/>
    <w:pPr>
      <w:tabs>
        <w:tab w:val="center" w:pos="4252"/>
        <w:tab w:val="right" w:pos="8504"/>
      </w:tabs>
      <w:snapToGrid w:val="0"/>
    </w:pPr>
  </w:style>
  <w:style w:type="character" w:customStyle="1" w:styleId="a8">
    <w:name w:val="ヘッダー (文字)"/>
    <w:basedOn w:val="a0"/>
    <w:link w:val="a7"/>
    <w:uiPriority w:val="99"/>
    <w:rsid w:val="00AE6DDE"/>
  </w:style>
  <w:style w:type="paragraph" w:styleId="a9">
    <w:name w:val="footer"/>
    <w:basedOn w:val="a"/>
    <w:link w:val="aa"/>
    <w:uiPriority w:val="99"/>
    <w:unhideWhenUsed/>
    <w:rsid w:val="00AE6DDE"/>
    <w:pPr>
      <w:tabs>
        <w:tab w:val="center" w:pos="4252"/>
        <w:tab w:val="right" w:pos="8504"/>
      </w:tabs>
      <w:snapToGrid w:val="0"/>
    </w:pPr>
  </w:style>
  <w:style w:type="character" w:customStyle="1" w:styleId="aa">
    <w:name w:val="フッター (文字)"/>
    <w:basedOn w:val="a0"/>
    <w:link w:val="a9"/>
    <w:uiPriority w:val="99"/>
    <w:rsid w:val="00AE6DDE"/>
  </w:style>
  <w:style w:type="paragraph" w:styleId="ab">
    <w:name w:val="Balloon Text"/>
    <w:basedOn w:val="a"/>
    <w:link w:val="ac"/>
    <w:uiPriority w:val="99"/>
    <w:semiHidden/>
    <w:unhideWhenUsed/>
    <w:rsid w:val="00391765"/>
    <w:rPr>
      <w:rFonts w:ascii="ヒラギノ角ゴ ProN W3" w:eastAsia="ヒラギノ角ゴ ProN W3"/>
      <w:sz w:val="18"/>
      <w:szCs w:val="18"/>
    </w:rPr>
  </w:style>
  <w:style w:type="character" w:customStyle="1" w:styleId="ac">
    <w:name w:val="吹き出し (文字)"/>
    <w:basedOn w:val="a0"/>
    <w:link w:val="ab"/>
    <w:uiPriority w:val="99"/>
    <w:semiHidden/>
    <w:rsid w:val="00391765"/>
    <w:rPr>
      <w:rFonts w:ascii="ヒラギノ角ゴ ProN W3" w:eastAsia="ヒラギノ角ゴ ProN W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063"/>
    <w:pPr>
      <w:ind w:leftChars="400" w:left="840"/>
    </w:pPr>
  </w:style>
  <w:style w:type="table" w:styleId="a4">
    <w:name w:val="Table Grid"/>
    <w:basedOn w:val="a1"/>
    <w:uiPriority w:val="59"/>
    <w:rsid w:val="00F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F2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522CA"/>
    <w:rPr>
      <w:color w:val="0000FF" w:themeColor="hyperlink"/>
      <w:u w:val="single"/>
    </w:rPr>
  </w:style>
  <w:style w:type="character" w:styleId="a6">
    <w:name w:val="FollowedHyperlink"/>
    <w:basedOn w:val="a0"/>
    <w:uiPriority w:val="99"/>
    <w:semiHidden/>
    <w:unhideWhenUsed/>
    <w:rsid w:val="006522CA"/>
    <w:rPr>
      <w:color w:val="800080" w:themeColor="followedHyperlink"/>
      <w:u w:val="single"/>
    </w:rPr>
  </w:style>
  <w:style w:type="paragraph" w:styleId="a7">
    <w:name w:val="header"/>
    <w:basedOn w:val="a"/>
    <w:link w:val="a8"/>
    <w:uiPriority w:val="99"/>
    <w:unhideWhenUsed/>
    <w:rsid w:val="00AE6DDE"/>
    <w:pPr>
      <w:tabs>
        <w:tab w:val="center" w:pos="4252"/>
        <w:tab w:val="right" w:pos="8504"/>
      </w:tabs>
      <w:snapToGrid w:val="0"/>
    </w:pPr>
  </w:style>
  <w:style w:type="character" w:customStyle="1" w:styleId="a8">
    <w:name w:val="ヘッダー (文字)"/>
    <w:basedOn w:val="a0"/>
    <w:link w:val="a7"/>
    <w:uiPriority w:val="99"/>
    <w:rsid w:val="00AE6DDE"/>
  </w:style>
  <w:style w:type="paragraph" w:styleId="a9">
    <w:name w:val="footer"/>
    <w:basedOn w:val="a"/>
    <w:link w:val="aa"/>
    <w:uiPriority w:val="99"/>
    <w:unhideWhenUsed/>
    <w:rsid w:val="00AE6DDE"/>
    <w:pPr>
      <w:tabs>
        <w:tab w:val="center" w:pos="4252"/>
        <w:tab w:val="right" w:pos="8504"/>
      </w:tabs>
      <w:snapToGrid w:val="0"/>
    </w:pPr>
  </w:style>
  <w:style w:type="character" w:customStyle="1" w:styleId="aa">
    <w:name w:val="フッター (文字)"/>
    <w:basedOn w:val="a0"/>
    <w:link w:val="a9"/>
    <w:uiPriority w:val="99"/>
    <w:rsid w:val="00AE6DDE"/>
  </w:style>
  <w:style w:type="paragraph" w:styleId="ab">
    <w:name w:val="Balloon Text"/>
    <w:basedOn w:val="a"/>
    <w:link w:val="ac"/>
    <w:uiPriority w:val="99"/>
    <w:semiHidden/>
    <w:unhideWhenUsed/>
    <w:rsid w:val="00391765"/>
    <w:rPr>
      <w:rFonts w:ascii="ヒラギノ角ゴ ProN W3" w:eastAsia="ヒラギノ角ゴ ProN W3"/>
      <w:sz w:val="18"/>
      <w:szCs w:val="18"/>
    </w:rPr>
  </w:style>
  <w:style w:type="character" w:customStyle="1" w:styleId="ac">
    <w:name w:val="吹き出し (文字)"/>
    <w:basedOn w:val="a0"/>
    <w:link w:val="ab"/>
    <w:uiPriority w:val="99"/>
    <w:semiHidden/>
    <w:rsid w:val="00391765"/>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Sheet1!$A$12</c:f>
              <c:strCache>
                <c:ptCount val="1"/>
                <c:pt idx="0">
                  <c:v>平均</c:v>
                </c:pt>
              </c:strCache>
            </c:strRef>
          </c:tx>
          <c:marker>
            <c:symbol val="none"/>
          </c:marker>
          <c:cat>
            <c:strRef>
              <c:f>Sheet1!$B$1:$E$1</c:f>
              <c:strCache>
                <c:ptCount val="4"/>
                <c:pt idx="0">
                  <c:v>第1回 盲点を探そう</c:v>
                </c:pt>
                <c:pt idx="1">
                  <c:v>第2回 高分子吸収剤</c:v>
                </c:pt>
                <c:pt idx="2">
                  <c:v>第3回 液状化の実験</c:v>
                </c:pt>
                <c:pt idx="3">
                  <c:v>第4回 人工イクラ</c:v>
                </c:pt>
              </c:strCache>
            </c:strRef>
          </c:cat>
          <c:val>
            <c:numRef>
              <c:f>Sheet1!$B$12:$E$12</c:f>
              <c:numCache>
                <c:formatCode>0.0_);[Red]\(0.0\)</c:formatCode>
                <c:ptCount val="4"/>
                <c:pt idx="0">
                  <c:v>3.9800000000000004</c:v>
                </c:pt>
                <c:pt idx="1">
                  <c:v>3.9200000000000008</c:v>
                </c:pt>
                <c:pt idx="2">
                  <c:v>4.12</c:v>
                </c:pt>
                <c:pt idx="3">
                  <c:v>4.21</c:v>
                </c:pt>
              </c:numCache>
            </c:numRef>
          </c:val>
          <c:smooth val="0"/>
        </c:ser>
        <c:dLbls>
          <c:showLegendKey val="0"/>
          <c:showVal val="0"/>
          <c:showCatName val="0"/>
          <c:showSerName val="0"/>
          <c:showPercent val="0"/>
          <c:showBubbleSize val="0"/>
        </c:dLbls>
        <c:marker val="1"/>
        <c:smooth val="0"/>
        <c:axId val="140479872"/>
        <c:axId val="149398272"/>
      </c:lineChart>
      <c:catAx>
        <c:axId val="140479872"/>
        <c:scaling>
          <c:orientation val="minMax"/>
        </c:scaling>
        <c:delete val="0"/>
        <c:axPos val="b"/>
        <c:majorTickMark val="out"/>
        <c:minorTickMark val="none"/>
        <c:tickLblPos val="nextTo"/>
        <c:crossAx val="149398272"/>
        <c:crosses val="autoZero"/>
        <c:auto val="1"/>
        <c:lblAlgn val="ctr"/>
        <c:lblOffset val="100"/>
        <c:noMultiLvlLbl val="0"/>
      </c:catAx>
      <c:valAx>
        <c:axId val="149398272"/>
        <c:scaling>
          <c:orientation val="minMax"/>
          <c:min val="1"/>
        </c:scaling>
        <c:delete val="0"/>
        <c:axPos val="l"/>
        <c:majorGridlines/>
        <c:title>
          <c:tx>
            <c:rich>
              <a:bodyPr rot="-5400000" vert="horz"/>
              <a:lstStyle/>
              <a:p>
                <a:pPr>
                  <a:defRPr/>
                </a:pPr>
                <a:r>
                  <a:rPr lang="ja-JP" altLang="en-US"/>
                  <a:t>平均点</a:t>
                </a:r>
                <a:endParaRPr lang="ja-JP"/>
              </a:p>
            </c:rich>
          </c:tx>
          <c:overlay val="0"/>
        </c:title>
        <c:numFmt formatCode="0.0_);[Red]\(0.0\)" sourceLinked="1"/>
        <c:majorTickMark val="out"/>
        <c:minorTickMark val="none"/>
        <c:tickLblPos val="nextTo"/>
        <c:crossAx val="140479872"/>
        <c:crosses val="autoZero"/>
        <c:crossBetween val="between"/>
        <c:majorUnit val="1"/>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0.14295</cdr:x>
      <cdr:y>0.50946</cdr:y>
    </cdr:from>
    <cdr:to>
      <cdr:x>0.96632</cdr:x>
      <cdr:y>0.51106</cdr:y>
    </cdr:to>
    <cdr:cxnSp macro="">
      <cdr:nvCxnSpPr>
        <cdr:cNvPr id="3" name="直線コネクタ 2"/>
        <cdr:cNvCxnSpPr/>
      </cdr:nvCxnSpPr>
      <cdr:spPr>
        <a:xfrm xmlns:a="http://schemas.openxmlformats.org/drawingml/2006/main">
          <a:off x="646769" y="1389450"/>
          <a:ext cx="3725206" cy="4375"/>
        </a:xfrm>
        <a:prstGeom xmlns:a="http://schemas.openxmlformats.org/drawingml/2006/main" prst="line">
          <a:avLst/>
        </a:prstGeom>
        <a:ln xmlns:a="http://schemas.openxmlformats.org/drawingml/2006/main">
          <a:solidFill>
            <a:srgbClr val="FF0000">
              <a:alpha val="50000"/>
            </a:srgbClr>
          </a:solidFill>
        </a:ln>
        <a:effectLst xmlns:a="http://schemas.openxmlformats.org/drawingml/2006/mai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京都府立大学</dc:creator>
  <cp:lastModifiedBy>yk</cp:lastModifiedBy>
  <cp:revision>2</cp:revision>
  <dcterms:created xsi:type="dcterms:W3CDTF">2014-07-05T18:05:00Z</dcterms:created>
  <dcterms:modified xsi:type="dcterms:W3CDTF">2014-07-05T18:05:00Z</dcterms:modified>
</cp:coreProperties>
</file>